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4"/>
        </w:rPr>
        <w:t>Mẫu biên bản họp kickoff dự án</w:t>
      </w:r>
    </w:p>
    <w:p>
      <w:pPr>
        <w:spacing w:after="280"/>
      </w:pPr>
      <w:r>
        <w:t>Mẫu biên bản họp kickoff dự án: mục tiêu, phạm vi, phân vai, rủi ro và mốc thời gian, kèm ví dụ điền sẵn.</w:t>
      </w:r>
    </w:p>
    <w:p>
      <w:r>
        <w:rPr>
          <w:b/>
          <w:color w:val="111111"/>
          <w:sz w:val="32"/>
        </w:rPr>
        <w:t>Cấu trúc mẫu biên bản họp kickoff</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Cách điền</w:t>
            </w:r>
          </w:p>
        </w:tc>
      </w:tr>
      <w:tr>
        <w:tc>
          <w:tcPr>
            <w:tcW w:type="dxa" w:w="4320"/>
          </w:tcPr>
          <w:p>
            <w:r>
              <w:t>Tên dự án và mã dự án</w:t>
            </w:r>
          </w:p>
        </w:tc>
        <w:tc>
          <w:tcPr>
            <w:tcW w:type="dxa" w:w="4320"/>
          </w:tcPr>
          <w:p>
            <w:r>
              <w:t>Tên gọi thống nhất sẽ dùng suốt dự án. Chốt ngay ở buổi kickoff, vì một dự án có hai ba tên gọi khác nhau sẽ gây nhầm lẫn trong mọi tài liệu về sau.</w:t>
            </w:r>
          </w:p>
        </w:tc>
      </w:tr>
      <w:tr>
        <w:tc>
          <w:tcPr>
            <w:tcW w:type="dxa" w:w="4320"/>
          </w:tcPr>
          <w:p>
            <w:r>
              <w:t>Bối cảnh và lý do làm</w:t>
            </w:r>
          </w:p>
        </w:tc>
        <w:tc>
          <w:tcPr>
            <w:tcW w:type="dxa" w:w="4320"/>
          </w:tcPr>
          <w:p>
            <w:r>
              <w:t>Hai tới ba câu về vấn đề dự án giải quyết. Mục này hay bị bỏ qua vì ai cũng nghĩ mình biết, nhưng khi viết ra thường lộ ra mỗi người hiểu một kiểu.</w:t>
            </w:r>
          </w:p>
        </w:tc>
      </w:tr>
      <w:tr>
        <w:tc>
          <w:tcPr>
            <w:tcW w:type="dxa" w:w="4320"/>
          </w:tcPr>
          <w:p>
            <w:r>
              <w:t>Mục tiêu đo được</w:t>
            </w:r>
          </w:p>
        </w:tc>
        <w:tc>
          <w:tcPr>
            <w:tcW w:type="dxa" w:w="4320"/>
          </w:tcPr>
          <w:p>
            <w:r>
              <w:t>Kết quả cụ thể kèm con số và mốc thời gian. Mục tiêu không đo được thì cuối dự án không ai kết luận được là thành công hay thất bại.</w:t>
            </w:r>
          </w:p>
        </w:tc>
      </w:tr>
      <w:tr>
        <w:tc>
          <w:tcPr>
            <w:tcW w:type="dxa" w:w="4320"/>
          </w:tcPr>
          <w:p>
            <w:r>
              <w:t>Phạm vi công việc</w:t>
            </w:r>
          </w:p>
        </w:tc>
        <w:tc>
          <w:tcPr>
            <w:tcW w:type="dxa" w:w="4320"/>
          </w:tcPr>
          <w:p>
            <w:r>
              <w:t>Liệt kê những gì dự án sẽ làm. Viết đủ chi tiết để người ngoài nhóm đọc cũng hiểu ranh giới, không chỉ liệt kê tên các hạng mục lớn.</w:t>
            </w:r>
          </w:p>
        </w:tc>
      </w:tr>
      <w:tr>
        <w:tc>
          <w:tcPr>
            <w:tcW w:type="dxa" w:w="4320"/>
          </w:tcPr>
          <w:p>
            <w:r>
              <w:t>Ngoài phạm vi</w:t>
            </w:r>
          </w:p>
        </w:tc>
        <w:tc>
          <w:tcPr>
            <w:tcW w:type="dxa" w:w="4320"/>
          </w:tcPr>
          <w:p>
            <w:r>
              <w:t>Liệt kê rõ những gì dự án sẽ không làm. Đây là mục có giá trị cao nhất và hay bị bỏ nhất. Phạm vi chỉ thực sự được xác định khi cả hai mặt đều được viết ra.</w:t>
            </w:r>
          </w:p>
        </w:tc>
      </w:tr>
      <w:tr>
        <w:tc>
          <w:tcPr>
            <w:tcW w:type="dxa" w:w="4320"/>
          </w:tcPr>
          <w:p>
            <w:r>
              <w:t>Phân vai</w:t>
            </w:r>
          </w:p>
        </w:tc>
        <w:tc>
          <w:tcPr>
            <w:tcW w:type="dxa" w:w="4320"/>
          </w:tcPr>
          <w:p>
            <w:r>
              <w:t>Ai chịu trách nhiệm chính từng mảng, ai là người ra quyết định cuối cùng, ai chỉ cần được thông báo. Ghi tên cụ thể chứ không ghi tên phòng ban.</w:t>
            </w:r>
          </w:p>
        </w:tc>
      </w:tr>
      <w:tr>
        <w:tc>
          <w:tcPr>
            <w:tcW w:type="dxa" w:w="4320"/>
          </w:tcPr>
          <w:p>
            <w:r>
              <w:t>Các bên liên quan</w:t>
            </w:r>
          </w:p>
        </w:tc>
        <w:tc>
          <w:tcPr>
            <w:tcW w:type="dxa" w:w="4320"/>
          </w:tcPr>
          <w:p>
            <w:r>
              <w:t>Những người hoặc bộ phận chịu ảnh hưởng nhưng không tham gia trực tiếp. Bỏ sót một bên liên quan quan trọng là nguyên nhân phổ biến của việc phải làm lại ở giai đoạn cuối.</w:t>
            </w:r>
          </w:p>
        </w:tc>
      </w:tr>
      <w:tr>
        <w:tc>
          <w:tcPr>
            <w:tcW w:type="dxa" w:w="4320"/>
          </w:tcPr>
          <w:p>
            <w:r>
              <w:t>Mốc thời gian chính</w:t>
            </w:r>
          </w:p>
        </w:tc>
        <w:tc>
          <w:tcPr>
            <w:tcW w:type="dxa" w:w="4320"/>
          </w:tcPr>
          <w:p>
            <w:r>
              <w:t>Từ ba tới sáu mốc, mỗi mốc có kết quả bàn giao cụ thể và ngày. Nhiều hơn sáu mốc ở buổi kickoff thường là lập kế hoạch quá sớm cho phần chưa đủ thông tin.</w:t>
            </w:r>
          </w:p>
        </w:tc>
      </w:tr>
      <w:tr>
        <w:tc>
          <w:tcPr>
            <w:tcW w:type="dxa" w:w="4320"/>
          </w:tcPr>
          <w:p>
            <w:r>
              <w:t>Rủi ro đã nhận diện</w:t>
            </w:r>
          </w:p>
        </w:tc>
        <w:tc>
          <w:tcPr>
            <w:tcW w:type="dxa" w:w="4320"/>
          </w:tcPr>
          <w:p>
            <w:r>
              <w:t>Mỗi rủi ro ghi khả năng xảy ra, mức ảnh hưởng và cách ứng phó dự kiến. Rủi ro không có cách ứng phó thì chỉ là một lời than, không phải quản trị rủi ro.</w:t>
            </w:r>
          </w:p>
        </w:tc>
      </w:tr>
      <w:tr>
        <w:tc>
          <w:tcPr>
            <w:tcW w:type="dxa" w:w="4320"/>
          </w:tcPr>
          <w:p>
            <w:r>
              <w:t>Cách làm việc và nhịp họp</w:t>
            </w:r>
          </w:p>
        </w:tc>
        <w:tc>
          <w:tcPr>
            <w:tcW w:type="dxa" w:w="4320"/>
          </w:tcPr>
          <w:p>
            <w:r>
              <w:t>Họp giao ban vào thứ mấy, báo cáo tiến độ ở đâu, quyết định được chốt qua kênh nào. Thống nhất ngay từ đầu tiết kiệm rất nhiều trao đổi vụn vặt về sau.</w:t>
            </w:r>
          </w:p>
        </w:tc>
      </w:tr>
      <w:tr>
        <w:tc>
          <w:tcPr>
            <w:tcW w:type="dxa" w:w="4320"/>
          </w:tcPr>
          <w:p>
            <w:r>
              <w:t>Việc cần làm ngay sau kickoff</w:t>
            </w:r>
          </w:p>
        </w:tc>
        <w:tc>
          <w:tcPr>
            <w:tcW w:type="dxa" w:w="4320"/>
          </w:tcPr>
          <w:p>
            <w:r>
              <w:t>Bảng bốn cột như mọi biên bản. Buổi kickoff nên kết thúc với ít nhất ba việc có tên người và hạn cụ thể, nếu không đà khởi động sẽ mất trong tuần đầu.</w:t>
            </w:r>
          </w:p>
        </w:tc>
      </w:tr>
    </w:tbl>
    <w:p/>
    <w:p>
      <w:r>
        <w:rPr>
          <w:b/>
          <w:color w:val="111111"/>
          <w:sz w:val="32"/>
        </w:rPr>
        <w:t>Ví dụ điền sẵn</w:t>
      </w:r>
    </w:p>
    <w:tbl>
      <w:tblPr>
        <w:tblStyle w:val="TableGrid"/>
        <w:tblW w:type="auto" w:w="0"/>
        <w:tblLook w:firstColumn="1" w:firstRow="1" w:lastColumn="0" w:lastRow="0" w:noHBand="0" w:noVBand="1" w:val="04A0"/>
      </w:tblPr>
      <w:tblGrid>
        <w:gridCol w:w="4320"/>
        <w:gridCol w:w="4320"/>
      </w:tblGrid>
      <w:tr>
        <w:tc>
          <w:tcPr>
            <w:tcW w:type="dxa" w:w="4320"/>
          </w:tcPr>
          <w:p>
            <w:r/>
            <w:r>
              <w:rPr>
                <w:b/>
              </w:rPr>
              <w:t>Mục</w:t>
            </w:r>
          </w:p>
        </w:tc>
        <w:tc>
          <w:tcPr>
            <w:tcW w:type="dxa" w:w="4320"/>
          </w:tcPr>
          <w:p>
            <w:r/>
            <w:r>
              <w:rPr>
                <w:b/>
              </w:rPr>
              <w:t>Nội dung ví dụ</w:t>
            </w:r>
          </w:p>
        </w:tc>
      </w:tr>
      <w:tr>
        <w:tc>
          <w:tcPr>
            <w:tcW w:type="dxa" w:w="4320"/>
          </w:tcPr>
          <w:p>
            <w:r>
              <w:t>Tên dự án</w:t>
            </w:r>
          </w:p>
        </w:tc>
        <w:tc>
          <w:tcPr>
            <w:tcW w:type="dxa" w:w="4320"/>
          </w:tcPr>
          <w:p>
            <w:r>
              <w:t>Thay hệ thống chấm công, mã CC-2026</w:t>
            </w:r>
          </w:p>
        </w:tc>
      </w:tr>
      <w:tr>
        <w:tc>
          <w:tcPr>
            <w:tcW w:type="dxa" w:w="4320"/>
          </w:tcPr>
          <w:p>
            <w:r>
              <w:t>Bối cảnh</w:t>
            </w:r>
          </w:p>
        </w:tc>
        <w:tc>
          <w:tcPr>
            <w:tcW w:type="dxa" w:w="4320"/>
          </w:tcPr>
          <w:p>
            <w:r>
              <w:t>Hệ thống chấm công hiện tại không đồng bộ được với bảng lương, mỗi tháng bộ phận nhân sự mất khoảng hai ngày công để đối chiếu thủ công.</w:t>
            </w:r>
          </w:p>
        </w:tc>
      </w:tr>
      <w:tr>
        <w:tc>
          <w:tcPr>
            <w:tcW w:type="dxa" w:w="4320"/>
          </w:tcPr>
          <w:p>
            <w:r>
              <w:t>Mục tiêu đo được</w:t>
            </w:r>
          </w:p>
        </w:tc>
        <w:tc>
          <w:tcPr>
            <w:tcW w:type="dxa" w:w="4320"/>
          </w:tcPr>
          <w:p>
            <w:r>
              <w:t>Giảm thời gian đối chiếu từ hai ngày công xuống dưới hai giờ mỗi tháng, hoàn thành trước kỳ lương tháng 11/2026.</w:t>
            </w:r>
          </w:p>
        </w:tc>
      </w:tr>
      <w:tr>
        <w:tc>
          <w:tcPr>
            <w:tcW w:type="dxa" w:w="4320"/>
          </w:tcPr>
          <w:p>
            <w:r>
              <w:t>Phạm vi</w:t>
            </w:r>
          </w:p>
        </w:tc>
        <w:tc>
          <w:tcPr>
            <w:tcW w:type="dxa" w:w="4320"/>
          </w:tcPr>
          <w:p>
            <w:r>
              <w:t>Chọn và triển khai hệ thống mới, chuyển dữ liệu hai năm gần nhất, đồng bộ tự động với bảng lương, đào tạo bộ phận nhân sự.</w:t>
            </w:r>
          </w:p>
        </w:tc>
      </w:tr>
      <w:tr>
        <w:tc>
          <w:tcPr>
            <w:tcW w:type="dxa" w:w="4320"/>
          </w:tcPr>
          <w:p>
            <w:r>
              <w:t>Ngoài phạm vi</w:t>
            </w:r>
          </w:p>
        </w:tc>
        <w:tc>
          <w:tcPr>
            <w:tcW w:type="dxa" w:w="4320"/>
          </w:tcPr>
          <w:p>
            <w:r>
              <w:t>Không thay đổi quy chế chấm công. Không tích hợp với hệ thống kiểm soát ra vào cửa. Không xử lý dữ liệu cũ hơn hai năm.</w:t>
            </w:r>
          </w:p>
        </w:tc>
      </w:tr>
      <w:tr>
        <w:tc>
          <w:tcPr>
            <w:tcW w:type="dxa" w:w="4320"/>
          </w:tcPr>
          <w:p>
            <w:r>
              <w:t>Phân vai</w:t>
            </w:r>
          </w:p>
        </w:tc>
        <w:tc>
          <w:tcPr>
            <w:tcW w:type="dxa" w:w="4320"/>
          </w:tcPr>
          <w:p>
            <w:r>
              <w:t>Quản lý dự án: Trang. Người ra quyết định cuối: chị Hạnh, giám đốc nhân sự. Kỹ thuật: Nam. Nghiệp vụ nhân sự: Linh. Mua sắm: anh Quân.</w:t>
            </w:r>
          </w:p>
        </w:tc>
      </w:tr>
      <w:tr>
        <w:tc>
          <w:tcPr>
            <w:tcW w:type="dxa" w:w="4320"/>
          </w:tcPr>
          <w:p>
            <w:r>
              <w:t>Các bên liên quan</w:t>
            </w:r>
          </w:p>
        </w:tc>
        <w:tc>
          <w:tcPr>
            <w:tcW w:type="dxa" w:w="4320"/>
          </w:tcPr>
          <w:p>
            <w:r>
              <w:t>Bộ phận kế toán (nhận dữ liệu đầu ra), toàn bộ nhân viên (người dùng cuối)</w:t>
            </w:r>
          </w:p>
        </w:tc>
      </w:tr>
      <w:tr>
        <w:tc>
          <w:tcPr>
            <w:tcW w:type="dxa" w:w="4320"/>
          </w:tcPr>
          <w:p>
            <w:r>
              <w:t>Mốc chính</w:t>
            </w:r>
          </w:p>
        </w:tc>
        <w:tc>
          <w:tcPr>
            <w:tcW w:type="dxa" w:w="4320"/>
          </w:tcPr>
          <w:p>
            <w:r>
              <w:t>Chốt nhà cung cấp 15/08. Chuyển dữ liệu xong 20/09. Chạy song song hai hệ thống trong tháng 10. Dừng hệ thống cũ 01/11.</w:t>
            </w:r>
          </w:p>
        </w:tc>
      </w:tr>
      <w:tr>
        <w:tc>
          <w:tcPr>
            <w:tcW w:type="dxa" w:w="4320"/>
          </w:tcPr>
          <w:p>
            <w:r>
              <w:t>Rủi ro</w:t>
            </w:r>
          </w:p>
        </w:tc>
        <w:tc>
          <w:tcPr>
            <w:tcW w:type="dxa" w:w="4320"/>
          </w:tcPr>
          <w:p>
            <w:r>
              <w:t>Dữ liệu cũ thiếu trường bắt buộc, khả năng cao, ảnh hưởng lớn, ứng phó bằng cách kiểm tra mẫu 200 bản ghi trước khi chuyển toàn bộ. Nhân viên phản ứng với cách chấm công mới, khả năng trung bình, ảnh hưởng trung bình, ứng phó bằng buổi hướng dẫn trước khi chạy song song.</w:t>
            </w:r>
          </w:p>
        </w:tc>
      </w:tr>
      <w:tr>
        <w:tc>
          <w:tcPr>
            <w:tcW w:type="dxa" w:w="4320"/>
          </w:tcPr>
          <w:p>
            <w:r>
              <w:t>Cách làm việc</w:t>
            </w:r>
          </w:p>
        </w:tc>
        <w:tc>
          <w:tcPr>
            <w:tcW w:type="dxa" w:w="4320"/>
          </w:tcPr>
          <w:p>
            <w:r>
              <w:t>Giao ban thứ Hai hàng tuần lúc 9h. Tiến độ cập nhật trên bảng dự án chung. Quyết định ảnh hưởng phạm vi phải qua chị Hạnh.</w:t>
            </w:r>
          </w:p>
        </w:tc>
      </w:tr>
      <w:tr>
        <w:tc>
          <w:tcPr>
            <w:tcW w:type="dxa" w:w="4320"/>
          </w:tcPr>
          <w:p>
            <w:r>
              <w:t>Việc cần làm</w:t>
            </w:r>
          </w:p>
        </w:tc>
        <w:tc>
          <w:tcPr>
            <w:tcW w:type="dxa" w:w="4320"/>
          </w:tcPr>
          <w:p>
            <w:r>
              <w:t>Lập danh sách tiêu chí chọn nhà cung cấp · Trang · 30/07. Trích mẫu 200 bản ghi để kiểm tra chất lượng dữ liệu · Nam · 02/08. Xin ngân sách dự kiến · anh Quân · 05/08.</w:t>
            </w:r>
          </w:p>
        </w:tc>
      </w:tr>
    </w:tbl>
    <w:p/>
    <w:p>
      <w:pPr>
        <w:jc w:val="center"/>
      </w:pPr>
      <w:r>
        <w:rPr>
          <w:color w:val="767676"/>
          <w:sz w:val="18"/>
        </w:rPr>
        <w:t>Mẫu do Meco cung cấp miễn phí — meco-app.com. Meco tự dựng biên bản này từ file ghi âm cuộc họp của bạn.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